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“ESA”)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10"/>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10"/>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7"/>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3"/>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6">
      <w:pPr>
        <w:numPr>
          <w:ilvl w:val="0"/>
          <w:numId w:val="10"/>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highlight w:val="yellow"/>
          <w:rtl w:val="0"/>
        </w:rPr>
        <w:t xml:space="preserve">The Employee’s vacation pay will be paid on every paycheque,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accrue sick time benefit of up to [X] days in a calendar year, prorated from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start date. </w:t>
      </w: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must earn </w:t>
      </w:r>
      <w:r w:rsidDel="00000000" w:rsidR="00000000" w:rsidRPr="00000000">
        <w:rPr>
          <w:highlight w:val="yellow"/>
          <w:rtl w:val="0"/>
        </w:rPr>
        <w:t xml:space="preserve">their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paid sick time benefit before </w:t>
      </w:r>
      <w:r w:rsidDel="00000000" w:rsidR="00000000" w:rsidRPr="00000000">
        <w:rPr>
          <w:highlight w:val="yellow"/>
          <w:rtl w:val="0"/>
        </w:rPr>
        <w:t xml:space="preserve">they</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may use it for paid sick time.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C">
      <w:pPr>
        <w:numPr>
          <w:ilvl w:val="0"/>
          <w:numId w:val="8"/>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D">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E">
      <w:pPr>
        <w:numPr>
          <w:ilvl w:val="1"/>
          <w:numId w:val="8"/>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eo4pgdo69row"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11"/>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9"/>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9"/>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7">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B">
      <w:pPr>
        <w:shd w:fill="ffffff" w:val="clear"/>
        <w:spacing w:after="0" w:line="240" w:lineRule="auto"/>
        <w:rPr>
          <w:color w:val="000000"/>
        </w:rPr>
      </w:pPr>
      <w:r w:rsidDel="00000000" w:rsidR="00000000" w:rsidRPr="00000000">
        <w:rPr>
          <w:highlight w:val="yellow"/>
          <w:rtl w:val="0"/>
        </w:rPr>
        <w:t xml:space="preserve">&lt;Organization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r w:rsidDel="00000000" w:rsidR="00000000" w:rsidRPr="00000000">
        <w:rPr>
          <w:rtl w:val="0"/>
        </w:rPr>
      </w:r>
    </w:p>
    <w:p w:rsidR="00000000" w:rsidDel="00000000" w:rsidP="00000000" w:rsidRDefault="00000000" w:rsidRPr="00000000" w14:paraId="0000003C">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Northwest Territories. The Employee therefore agrees that they will not relocate outside of the Northwest Territories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5">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7">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9">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2"/>
          <w:numId w:val="5"/>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2"/>
          <w:numId w:val="5"/>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1">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4"/>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8">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Compliance with ESA</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5">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9">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1">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Northwest Territories, and the federal laws of Canada applicable in that </w:t>
      </w:r>
      <w:r w:rsidDel="00000000" w:rsidR="00000000" w:rsidRPr="00000000">
        <w:rPr>
          <w:rtl w:val="0"/>
        </w:rPr>
        <w:t xml:space="preserve">territory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parties agree and attorn to the exclusive jurisdiction of the courts of the Northwest Territories in relation to the enforcement of this Agreement.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8">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9">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A">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B">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C">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D">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E">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On behalf of &lt;Organization Name&gt;, we congratulate you on attaining this position, and look forward to continuing our employment relationship. We are confident that your knowledge, skills, and experience will continue to be valuable assets.</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Sincerely yours,</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7">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8">
      <w:pPr>
        <w:shd w:fill="ffffff" w:val="clea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E">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F">
            <w:pPr>
              <w:spacing w:after="0" w:line="240" w:lineRule="auto"/>
              <w:rPr/>
            </w:pPr>
            <w:r w:rsidDel="00000000" w:rsidR="00000000" w:rsidRPr="00000000">
              <w:rPr>
                <w:rtl w:val="0"/>
              </w:rPr>
            </w:r>
          </w:p>
        </w:tc>
        <w:tc>
          <w:tcPr>
            <w:vAlign w:val="bottom"/>
          </w:tcPr>
          <w:p w:rsidR="00000000" w:rsidDel="00000000" w:rsidP="00000000" w:rsidRDefault="00000000" w:rsidRPr="00000000" w14:paraId="000000B0">
            <w:pPr>
              <w:spacing w:after="0" w:line="240" w:lineRule="auto"/>
              <w:rPr/>
            </w:pPr>
            <w:r w:rsidDel="00000000" w:rsidR="00000000" w:rsidRPr="00000000">
              <w:rPr>
                <w:rtl w:val="0"/>
              </w:rPr>
            </w:r>
          </w:p>
        </w:tc>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tSwqR7b6pZC2DhNHLRPQyaVew==">CgMxLjAyCWlkLmxueGJ6OTIQa2l4LmVvNHBnZG82OXJvdzIJaC4yZXQ5MnAwMghoLnR5amN3dDIJaC4zZHk2dmttMgppZC4yanhzeHFoMgppZC40NHNpbmlvMglpZC56MzM3eWEyCmlkLjNqMnFxbTMyCmlkLjF5ODEwdHcyCmlkLjRpN29qaHAyCmlkLjJ4Y3l0cGkyCmlkLjFjaTkzeGIyCmlkLjN3aHdtbDQyCmlkLjJibjZ3c3g4AHIhMURuVGRNaWgzTnJiRU9jS1NDZlJXYTBBMjR4UkgwQV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2024-05-06T13:34:00Z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